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601" w:rsidRDefault="00C43601" w:rsidP="00C43601">
      <w:pPr>
        <w:spacing w:after="0" w:line="240" w:lineRule="auto"/>
        <w:jc w:val="right"/>
        <w:rPr>
          <w:rFonts w:ascii="Castellar" w:eastAsia="Times New Roman" w:hAnsi="Castellar" w:cs="Helvetica"/>
          <w:b/>
          <w:i/>
          <w:color w:val="00B050"/>
          <w:sz w:val="44"/>
          <w:szCs w:val="44"/>
        </w:rPr>
      </w:pPr>
      <w:r w:rsidRPr="00E03AA5">
        <w:rPr>
          <w:rFonts w:ascii="Castellar" w:eastAsia="Times New Roman" w:hAnsi="Castellar" w:cs="Helvetica"/>
          <w:b/>
          <w:i/>
          <w:color w:val="00B050"/>
          <w:sz w:val="44"/>
          <w:szCs w:val="44"/>
        </w:rPr>
        <w:t>TEMARIO curso BIOMAGNETÍSMO</w:t>
      </w:r>
      <w:r>
        <w:rPr>
          <w:rFonts w:ascii="Castellar" w:eastAsia="Times New Roman" w:hAnsi="Castellar" w:cs="Helvetica"/>
          <w:b/>
          <w:i/>
          <w:color w:val="00B050"/>
          <w:sz w:val="44"/>
          <w:szCs w:val="44"/>
        </w:rPr>
        <w:t xml:space="preserve"> Y BIOENERGÉTICA</w:t>
      </w:r>
    </w:p>
    <w:p w:rsidR="00C43601" w:rsidRDefault="00C43601" w:rsidP="00C43601">
      <w:pPr>
        <w:spacing w:after="0" w:line="240" w:lineRule="auto"/>
        <w:jc w:val="right"/>
        <w:rPr>
          <w:rFonts w:ascii="Castellar" w:eastAsia="Times New Roman" w:hAnsi="Castellar" w:cs="Helvetica"/>
          <w:b/>
          <w:i/>
          <w:color w:val="00B050"/>
          <w:sz w:val="44"/>
          <w:szCs w:val="44"/>
        </w:rPr>
      </w:pPr>
    </w:p>
    <w:p w:rsidR="00C43601" w:rsidRPr="00C43601" w:rsidRDefault="00C43601" w:rsidP="00C43601">
      <w:pPr>
        <w:pBdr>
          <w:top w:val="dotDotDash" w:sz="12" w:space="1" w:color="7030A0"/>
          <w:left w:val="dotDotDash" w:sz="12" w:space="0" w:color="7030A0"/>
          <w:bottom w:val="dotDotDash" w:sz="12" w:space="1" w:color="7030A0"/>
          <w:right w:val="dotDotDash" w:sz="12" w:space="4" w:color="7030A0"/>
        </w:pBdr>
        <w:spacing w:after="0" w:line="240" w:lineRule="auto"/>
        <w:jc w:val="center"/>
        <w:rPr>
          <w:rFonts w:ascii="Book Antiqua" w:eastAsia="Times New Roman" w:hAnsi="Book Antiqua" w:cs="Helvetica"/>
          <w:b/>
          <w:i/>
          <w:color w:val="7030A0"/>
          <w:sz w:val="44"/>
          <w:szCs w:val="44"/>
        </w:rPr>
      </w:pPr>
      <w:r w:rsidRPr="00C43601">
        <w:rPr>
          <w:rFonts w:ascii="Book Antiqua" w:eastAsia="Times New Roman" w:hAnsi="Book Antiqua" w:cs="Helvetica"/>
          <w:b/>
          <w:i/>
          <w:color w:val="7030A0"/>
          <w:sz w:val="44"/>
          <w:szCs w:val="44"/>
        </w:rPr>
        <w:t>CUARTO CICLO</w:t>
      </w:r>
    </w:p>
    <w:p w:rsidR="00C43601" w:rsidRPr="0062233E" w:rsidRDefault="00C43601" w:rsidP="00C43601">
      <w:pPr>
        <w:pBdr>
          <w:top w:val="dotDotDash" w:sz="12" w:space="1" w:color="7030A0"/>
          <w:left w:val="dotDotDash" w:sz="12" w:space="0" w:color="7030A0"/>
          <w:bottom w:val="dotDotDash" w:sz="12" w:space="1" w:color="7030A0"/>
          <w:right w:val="dotDotDash" w:sz="12" w:space="4" w:color="7030A0"/>
        </w:pBdr>
        <w:spacing w:after="0" w:line="240" w:lineRule="auto"/>
        <w:jc w:val="center"/>
        <w:rPr>
          <w:rFonts w:ascii="Book Antiqua" w:eastAsia="Times New Roman" w:hAnsi="Book Antiqua" w:cs="Helvetica"/>
          <w:i/>
          <w:color w:val="1F497D" w:themeColor="text2"/>
        </w:rPr>
      </w:pPr>
      <w:r w:rsidRPr="00C43601">
        <w:rPr>
          <w:rFonts w:ascii="Book Antiqua" w:eastAsia="Times New Roman" w:hAnsi="Book Antiqua" w:cs="Helvetica"/>
          <w:b/>
          <w:color w:val="1F497D" w:themeColor="text2"/>
          <w:sz w:val="44"/>
          <w:szCs w:val="44"/>
        </w:rPr>
        <w:t>"Bioenergética para Biomagnétismo"</w:t>
      </w:r>
      <w:r>
        <w:rPr>
          <w:rFonts w:ascii="Book Antiqua" w:eastAsia="Times New Roman" w:hAnsi="Book Antiqua" w:cs="Helvetica"/>
          <w:b/>
          <w:color w:val="1F497D" w:themeColor="text2"/>
        </w:rPr>
        <w:t xml:space="preserve"> </w:t>
      </w:r>
      <w:r>
        <w:rPr>
          <w:rFonts w:ascii="Book Antiqua" w:eastAsia="Times New Roman" w:hAnsi="Book Antiqua" w:cs="Helvetica"/>
          <w:i/>
          <w:color w:val="1F497D" w:themeColor="text2"/>
        </w:rPr>
        <w:t xml:space="preserve">(Aprendizaje de Bioenergética pura y dura, otras técnicas como tratamiento de intuición, a distancia...) </w:t>
      </w:r>
    </w:p>
    <w:p w:rsidR="00C43601" w:rsidRDefault="00C43601" w:rsidP="00C43601">
      <w:pPr>
        <w:pBdr>
          <w:top w:val="dotDotDash" w:sz="12" w:space="1" w:color="7030A0"/>
          <w:left w:val="dotDotDash" w:sz="12" w:space="0" w:color="7030A0"/>
          <w:bottom w:val="dotDotDash" w:sz="12" w:space="1" w:color="7030A0"/>
          <w:right w:val="dotDotDash" w:sz="12" w:space="4" w:color="7030A0"/>
        </w:pBdr>
        <w:spacing w:after="0" w:line="240" w:lineRule="auto"/>
        <w:jc w:val="center"/>
        <w:rPr>
          <w:rFonts w:ascii="Book Antiqua" w:eastAsia="Times New Roman" w:hAnsi="Book Antiqua" w:cs="Helvetica"/>
          <w:b/>
          <w:i/>
          <w:color w:val="7030A0"/>
        </w:rPr>
      </w:pPr>
    </w:p>
    <w:p w:rsidR="00C43601" w:rsidRDefault="00C43601" w:rsidP="00C43601">
      <w:pPr>
        <w:spacing w:after="0" w:line="240" w:lineRule="auto"/>
        <w:jc w:val="right"/>
        <w:rPr>
          <w:rFonts w:ascii="Castellar" w:eastAsia="Times New Roman" w:hAnsi="Castellar" w:cs="Helvetica"/>
          <w:b/>
          <w:i/>
          <w:color w:val="00B050"/>
          <w:sz w:val="44"/>
          <w:szCs w:val="44"/>
        </w:rPr>
      </w:pPr>
    </w:p>
    <w:p w:rsidR="00C43601" w:rsidRPr="00D05DEA" w:rsidRDefault="00C43601" w:rsidP="00C43601">
      <w:pPr>
        <w:spacing w:after="0" w:line="240" w:lineRule="auto"/>
        <w:jc w:val="both"/>
        <w:rPr>
          <w:rFonts w:ascii="Book Antiqua" w:eastAsia="Times New Roman" w:hAnsi="Book Antiqua" w:cs="Helvetica"/>
          <w:i/>
          <w:color w:val="1F497D" w:themeColor="text2"/>
        </w:rPr>
      </w:pPr>
      <w:r w:rsidRPr="00F86C9F">
        <w:rPr>
          <w:rFonts w:ascii="Book Antiqua" w:eastAsia="Times New Roman" w:hAnsi="Book Antiqua" w:cs="Helvetica"/>
          <w:b/>
          <w:color w:val="7030A0"/>
          <w:u w:val="single"/>
        </w:rPr>
        <w:t xml:space="preserve">MÓDULO </w:t>
      </w:r>
      <w:r>
        <w:rPr>
          <w:rFonts w:ascii="Book Antiqua" w:eastAsia="Times New Roman" w:hAnsi="Book Antiqua" w:cs="Helvetica"/>
          <w:b/>
          <w:color w:val="7030A0"/>
          <w:u w:val="single"/>
        </w:rPr>
        <w:t>6</w:t>
      </w:r>
      <w:r w:rsidRPr="00F86C9F">
        <w:rPr>
          <w:rFonts w:ascii="Book Antiqua" w:eastAsia="Times New Roman" w:hAnsi="Book Antiqua" w:cs="Helvetica"/>
          <w:b/>
        </w:rPr>
        <w:t xml:space="preserve">    </w:t>
      </w:r>
      <w:r w:rsidRPr="00F86C9F">
        <w:rPr>
          <w:rFonts w:ascii="Book Antiqua" w:eastAsia="Times New Roman" w:hAnsi="Book Antiqua" w:cs="Helvetica"/>
          <w:b/>
          <w:i/>
        </w:rPr>
        <w:t>(1 día)</w:t>
      </w:r>
      <w:r w:rsidRPr="00F86C9F">
        <w:rPr>
          <w:rFonts w:ascii="Book Antiqua" w:eastAsia="Times New Roman" w:hAnsi="Book Antiqua" w:cs="Helvetica"/>
          <w:i/>
        </w:rPr>
        <w:t xml:space="preserve"> </w:t>
      </w:r>
    </w:p>
    <w:p w:rsidR="00C43601" w:rsidRPr="00D05DEA" w:rsidRDefault="00C43601" w:rsidP="00C43601">
      <w:pPr>
        <w:spacing w:after="0" w:line="240" w:lineRule="auto"/>
        <w:rPr>
          <w:rFonts w:ascii="Book Antiqua" w:hAnsi="Book Antiqua"/>
          <w:b/>
          <w:i/>
          <w:sz w:val="28"/>
          <w:szCs w:val="28"/>
        </w:rPr>
      </w:pPr>
    </w:p>
    <w:p w:rsidR="00C43601" w:rsidRPr="0076456A" w:rsidRDefault="00C43601" w:rsidP="00C43601">
      <w:pPr>
        <w:pStyle w:val="NormalWeb"/>
        <w:spacing w:before="0" w:beforeAutospacing="0" w:after="0" w:afterAutospacing="0"/>
        <w:rPr>
          <w:b/>
        </w:rPr>
      </w:pPr>
      <w:r w:rsidRPr="0076456A">
        <w:rPr>
          <w:b/>
        </w:rPr>
        <w:t>La Bioenergética: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-Bioenergética y la física cuántica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-La intención sanadora 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-Biología, Epinegenética y energía de los pensamientos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-Autoprotección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-Ejercicio de relajación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-Qué cambia al realizar una sesión de Bioenergética</w:t>
      </w:r>
    </w:p>
    <w:p w:rsidR="00C43601" w:rsidRPr="0076456A" w:rsidRDefault="00C43601" w:rsidP="00C43601">
      <w:pPr>
        <w:pStyle w:val="NormalWeb"/>
        <w:spacing w:before="0" w:beforeAutospacing="0" w:after="0" w:afterAutospacing="0"/>
        <w:rPr>
          <w:b/>
        </w:rPr>
      </w:pPr>
      <w:r w:rsidRPr="0076456A">
        <w:rPr>
          <w:b/>
        </w:rPr>
        <w:t>Tratamiento a distancia: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-Cómo rastrear a un paciente usando la Bioenergética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-Cómo buscar Pares alterados en el paciente usando la Bioenergética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-Cómo reequilibrar pares alterados usando la Bioenergéticos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-Tratamiento a distancia con representante </w:t>
      </w:r>
    </w:p>
    <w:p w:rsidR="00C43601" w:rsidRPr="0076456A" w:rsidRDefault="00C43601" w:rsidP="00C43601">
      <w:pPr>
        <w:pStyle w:val="NormalWeb"/>
        <w:spacing w:before="0" w:beforeAutospacing="0" w:after="0" w:afterAutospacing="0"/>
        <w:rPr>
          <w:b/>
        </w:rPr>
      </w:pPr>
      <w:r w:rsidRPr="0076456A">
        <w:rPr>
          <w:b/>
        </w:rPr>
        <w:t>Protocolo de tratamiento a distancia: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-Pasos del protocolo del tratamiento a distancia con representante 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-Tratamiento sin imanes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-Preguntar con Bioenergética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-Qué se puede preguntar con Bioenergética</w:t>
      </w:r>
    </w:p>
    <w:p w:rsidR="00C43601" w:rsidRPr="0076456A" w:rsidRDefault="00C43601" w:rsidP="00C43601">
      <w:pPr>
        <w:pStyle w:val="NormalWeb"/>
        <w:spacing w:before="0" w:beforeAutospacing="0" w:after="0" w:afterAutospacing="0"/>
        <w:rPr>
          <w:b/>
        </w:rPr>
      </w:pPr>
      <w:r w:rsidRPr="0076456A">
        <w:rPr>
          <w:b/>
        </w:rPr>
        <w:t>Diferentes prácticas de uso en el Testaje kinesiológico: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-Comparar la longitud de las piernas 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-Comparar la longitud de los dos brazos, Arm Reflez (AR)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-Comparar la longitud de los dos dedos pulgares, o las dos manos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-Comprobar la fortaleza y resistencia con dos dedos de la misma mano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-Comprobar la fortaleza y resistencia con anillos de dedos 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-Verticalidad del cuerpo</w:t>
      </w:r>
    </w:p>
    <w:p w:rsidR="00C43601" w:rsidRDefault="00C43601" w:rsidP="00C43601">
      <w:pPr>
        <w:pStyle w:val="NormalWeb"/>
        <w:spacing w:before="0" w:beforeAutospacing="0" w:after="0" w:afterAutospacing="0"/>
      </w:pPr>
      <w:r>
        <w:t xml:space="preserve">   -Pulso arterial</w:t>
      </w:r>
    </w:p>
    <w:p w:rsidR="00C43601" w:rsidRPr="00F86C9F" w:rsidRDefault="00C43601" w:rsidP="00C43601">
      <w:pPr>
        <w:pStyle w:val="NormalWeb"/>
        <w:spacing w:before="0" w:beforeAutospacing="0" w:after="0" w:afterAutospacing="0"/>
        <w:rPr>
          <w:rFonts w:ascii="Book Antiqua" w:hAnsi="Book Antiqua"/>
          <w:b/>
          <w:i/>
          <w:sz w:val="22"/>
          <w:szCs w:val="22"/>
        </w:rPr>
      </w:pPr>
      <w:r>
        <w:t xml:space="preserve">   -Desarrollo y muestra de la técnica, práctica dirigida por parejas</w:t>
      </w:r>
    </w:p>
    <w:sectPr w:rsidR="00C43601" w:rsidRPr="00F86C9F" w:rsidSect="002F7E71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650" w:rsidRDefault="00B81650" w:rsidP="00C43601">
      <w:pPr>
        <w:spacing w:after="0" w:line="240" w:lineRule="auto"/>
      </w:pPr>
      <w:r>
        <w:separator/>
      </w:r>
    </w:p>
  </w:endnote>
  <w:endnote w:type="continuationSeparator" w:id="0">
    <w:p w:rsidR="00B81650" w:rsidRDefault="00B81650" w:rsidP="00C43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650" w:rsidRDefault="00B81650" w:rsidP="00C43601">
      <w:pPr>
        <w:spacing w:after="0" w:line="240" w:lineRule="auto"/>
      </w:pPr>
      <w:r>
        <w:separator/>
      </w:r>
    </w:p>
  </w:footnote>
  <w:footnote w:type="continuationSeparator" w:id="0">
    <w:p w:rsidR="00B81650" w:rsidRDefault="00B81650" w:rsidP="00C43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601" w:rsidRDefault="00C43601" w:rsidP="00C43601">
    <w:pPr>
      <w:pStyle w:val="Encabezado"/>
      <w:jc w:val="center"/>
    </w:pPr>
    <w:r>
      <w:rPr>
        <w:noProof/>
        <w:lang w:eastAsia="es-ES"/>
      </w:rPr>
      <w:drawing>
        <wp:inline distT="0" distB="0" distL="0" distR="0">
          <wp:extent cx="1865789" cy="1242203"/>
          <wp:effectExtent l="19050" t="0" r="1111" b="0"/>
          <wp:docPr id="1" name="0 Imagen" descr="centro-orig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-orig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7555" cy="1243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01" w:rsidRDefault="00C43601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C43601"/>
    <w:rsid w:val="002F7E71"/>
    <w:rsid w:val="00B81650"/>
    <w:rsid w:val="00C43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601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601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43601"/>
  </w:style>
  <w:style w:type="paragraph" w:styleId="Piedepgina">
    <w:name w:val="footer"/>
    <w:basedOn w:val="Normal"/>
    <w:link w:val="PiedepginaCar"/>
    <w:uiPriority w:val="99"/>
    <w:semiHidden/>
    <w:unhideWhenUsed/>
    <w:rsid w:val="00C43601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43601"/>
  </w:style>
  <w:style w:type="paragraph" w:styleId="Textodeglobo">
    <w:name w:val="Balloon Text"/>
    <w:basedOn w:val="Normal"/>
    <w:link w:val="TextodegloboCar"/>
    <w:uiPriority w:val="99"/>
    <w:semiHidden/>
    <w:unhideWhenUsed/>
    <w:rsid w:val="00C4360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60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43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218</Words>
  <Characters>1202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JCLEMENTE</dc:creator>
  <cp:lastModifiedBy>JCLEMENTE</cp:lastModifiedBy>
  <cp:revision>1</cp:revision>
  <dcterms:created xsi:type="dcterms:W3CDTF">2016-09-13T09:13:00Z</dcterms:created>
  <dcterms:modified xsi:type="dcterms:W3CDTF">2016-09-13T09:20:00Z</dcterms:modified>
</cp:coreProperties>
</file>